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B897" w14:textId="77777777" w:rsidR="00881DE1" w:rsidRDefault="00907171" w:rsidP="00881DE1">
      <w:pPr>
        <w:jc w:val="center"/>
      </w:pPr>
      <w:r w:rsidRPr="00907171">
        <w:rPr>
          <w:b/>
          <w:bCs/>
          <w:sz w:val="24"/>
          <w:szCs w:val="24"/>
        </w:rPr>
        <w:t xml:space="preserve">A guide to promoting the toolkit across social media </w:t>
      </w:r>
    </w:p>
    <w:p w14:paraId="351A7BF4" w14:textId="79126EE0" w:rsidR="00051A1F" w:rsidRPr="00881DE1" w:rsidRDefault="00437FFD" w:rsidP="00881DE1">
      <w:r>
        <w:br/>
        <w:t>This guide may be used to promote the Gambling Harms Women Too website an</w:t>
      </w:r>
      <w:r w:rsidR="00881DE1">
        <w:t xml:space="preserve">d to raise awareness about the </w:t>
      </w:r>
      <w:r w:rsidR="002E5BF0">
        <w:t xml:space="preserve">impact of gambling on women. In this guide are images, captions, and examples of post that could be made. </w:t>
      </w:r>
      <w:r>
        <w:br/>
      </w:r>
      <w:r>
        <w:br/>
      </w:r>
      <w:r w:rsidRPr="000B1634">
        <w:rPr>
          <w:b/>
          <w:bCs/>
        </w:rPr>
        <w:t>Images for social media posts</w:t>
      </w:r>
      <w:r>
        <w:br/>
      </w:r>
      <w:r>
        <w:br/>
      </w:r>
      <w:r w:rsidR="00907171">
        <w:t xml:space="preserve">Please find below </w:t>
      </w:r>
      <w:r w:rsidR="00876A07">
        <w:t xml:space="preserve">a selection of </w:t>
      </w:r>
      <w:r w:rsidR="00907171">
        <w:t>images</w:t>
      </w:r>
      <w:r w:rsidR="004F3382">
        <w:t xml:space="preserve"> </w:t>
      </w:r>
      <w:r w:rsidR="00876A07">
        <w:t xml:space="preserve">that can be posted to social media. They have been </w:t>
      </w:r>
      <w:r>
        <w:t xml:space="preserve">developed in accordance with the best size requirements for each platform. </w:t>
      </w:r>
      <w:r w:rsidR="00511C93">
        <w:br/>
      </w:r>
    </w:p>
    <w:tbl>
      <w:tblPr>
        <w:tblStyle w:val="TableGrid"/>
        <w:tblW w:w="0" w:type="auto"/>
        <w:tblLook w:val="04A0" w:firstRow="1" w:lastRow="0" w:firstColumn="1" w:lastColumn="0" w:noHBand="0" w:noVBand="1"/>
      </w:tblPr>
      <w:tblGrid>
        <w:gridCol w:w="3234"/>
        <w:gridCol w:w="3002"/>
        <w:gridCol w:w="2780"/>
      </w:tblGrid>
      <w:tr w:rsidR="00D3745F" w14:paraId="5828779F" w14:textId="77777777" w:rsidTr="00051A1F">
        <w:tc>
          <w:tcPr>
            <w:tcW w:w="3005" w:type="dxa"/>
          </w:tcPr>
          <w:p w14:paraId="2401F4AF" w14:textId="53313157" w:rsidR="00D3745F" w:rsidRDefault="005B7EA2" w:rsidP="00D3745F">
            <w:pPr>
              <w:jc w:val="center"/>
              <w:rPr>
                <w:noProof/>
              </w:rPr>
            </w:pPr>
            <w:r>
              <w:rPr>
                <w:noProof/>
              </w:rPr>
              <w:t>Linked In 1</w:t>
            </w:r>
          </w:p>
        </w:tc>
        <w:tc>
          <w:tcPr>
            <w:tcW w:w="3005" w:type="dxa"/>
          </w:tcPr>
          <w:p w14:paraId="7A14A966" w14:textId="4F46B8F5" w:rsidR="00D3745F" w:rsidRDefault="005B7EA2" w:rsidP="00D3745F">
            <w:pPr>
              <w:jc w:val="center"/>
              <w:rPr>
                <w:noProof/>
              </w:rPr>
            </w:pPr>
            <w:r>
              <w:rPr>
                <w:noProof/>
              </w:rPr>
              <w:t>Linked In 2</w:t>
            </w:r>
          </w:p>
        </w:tc>
        <w:tc>
          <w:tcPr>
            <w:tcW w:w="3006" w:type="dxa"/>
          </w:tcPr>
          <w:p w14:paraId="05B3A75E" w14:textId="173A121F" w:rsidR="00D3745F" w:rsidRDefault="005B7EA2" w:rsidP="00D3745F">
            <w:pPr>
              <w:jc w:val="center"/>
              <w:rPr>
                <w:noProof/>
              </w:rPr>
            </w:pPr>
            <w:r>
              <w:rPr>
                <w:noProof/>
              </w:rPr>
              <w:t>Linked In 3</w:t>
            </w:r>
          </w:p>
        </w:tc>
      </w:tr>
      <w:tr w:rsidR="00051A1F" w14:paraId="2111455E" w14:textId="77777777" w:rsidTr="00051A1F">
        <w:tc>
          <w:tcPr>
            <w:tcW w:w="3005" w:type="dxa"/>
          </w:tcPr>
          <w:p w14:paraId="0CB8FF8E" w14:textId="274F2B04" w:rsidR="00051A1F" w:rsidRDefault="005B7EA2">
            <w:r>
              <w:rPr>
                <w:noProof/>
              </w:rPr>
              <w:drawing>
                <wp:inline distT="0" distB="0" distL="0" distR="0" wp14:anchorId="2331F61F" wp14:editId="48DA932C">
                  <wp:extent cx="1638300" cy="1638300"/>
                  <wp:effectExtent l="0" t="0" r="0" b="0"/>
                  <wp:docPr id="1809738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38564" name="Picture 18097385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inline>
              </w:drawing>
            </w:r>
          </w:p>
        </w:tc>
        <w:tc>
          <w:tcPr>
            <w:tcW w:w="3005" w:type="dxa"/>
          </w:tcPr>
          <w:p w14:paraId="3030A914" w14:textId="32E1987E" w:rsidR="00051A1F" w:rsidRDefault="005B7EA2">
            <w:r>
              <w:rPr>
                <w:noProof/>
              </w:rPr>
              <w:drawing>
                <wp:inline distT="0" distB="0" distL="0" distR="0" wp14:anchorId="13A3E455" wp14:editId="27BAEB1E">
                  <wp:extent cx="1670050" cy="1670050"/>
                  <wp:effectExtent l="0" t="0" r="6350" b="6350"/>
                  <wp:docPr id="1765462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62971" name="Picture 176546297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0050" cy="1670050"/>
                          </a:xfrm>
                          <a:prstGeom prst="rect">
                            <a:avLst/>
                          </a:prstGeom>
                        </pic:spPr>
                      </pic:pic>
                    </a:graphicData>
                  </a:graphic>
                </wp:inline>
              </w:drawing>
            </w:r>
          </w:p>
        </w:tc>
        <w:tc>
          <w:tcPr>
            <w:tcW w:w="3006" w:type="dxa"/>
          </w:tcPr>
          <w:p w14:paraId="55D32A79" w14:textId="08771AC4" w:rsidR="00051A1F" w:rsidRDefault="005B7EA2">
            <w:r>
              <w:rPr>
                <w:noProof/>
              </w:rPr>
              <w:drawing>
                <wp:inline distT="0" distB="0" distL="0" distR="0" wp14:anchorId="5C4A922A" wp14:editId="0CD02227">
                  <wp:extent cx="1682750" cy="1682750"/>
                  <wp:effectExtent l="0" t="0" r="0" b="0"/>
                  <wp:docPr id="6130046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04697" name="Picture 6130046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2750" cy="1682750"/>
                          </a:xfrm>
                          <a:prstGeom prst="rect">
                            <a:avLst/>
                          </a:prstGeom>
                        </pic:spPr>
                      </pic:pic>
                    </a:graphicData>
                  </a:graphic>
                </wp:inline>
              </w:drawing>
            </w:r>
          </w:p>
        </w:tc>
      </w:tr>
      <w:tr w:rsidR="005B7EA2" w14:paraId="72FCDCD4" w14:textId="77777777" w:rsidTr="00051A1F">
        <w:tc>
          <w:tcPr>
            <w:tcW w:w="3005" w:type="dxa"/>
          </w:tcPr>
          <w:p w14:paraId="2C467B78" w14:textId="77F17EB5" w:rsidR="005B7EA2" w:rsidRDefault="005B7EA2">
            <w:r>
              <w:t>Linked In 4</w:t>
            </w:r>
          </w:p>
        </w:tc>
        <w:tc>
          <w:tcPr>
            <w:tcW w:w="3005" w:type="dxa"/>
          </w:tcPr>
          <w:p w14:paraId="26FB72C0" w14:textId="4753FDEB" w:rsidR="005B7EA2" w:rsidRDefault="005B7EA2">
            <w:r>
              <w:t>Linked In 5</w:t>
            </w:r>
          </w:p>
        </w:tc>
        <w:tc>
          <w:tcPr>
            <w:tcW w:w="3006" w:type="dxa"/>
          </w:tcPr>
          <w:p w14:paraId="176E0685" w14:textId="77777777" w:rsidR="005B7EA2" w:rsidRDefault="005B7EA2">
            <w:pPr>
              <w:rPr>
                <w:noProof/>
              </w:rPr>
            </w:pPr>
          </w:p>
        </w:tc>
      </w:tr>
      <w:tr w:rsidR="005B7EA2" w14:paraId="7B43FBC0" w14:textId="77777777" w:rsidTr="00051A1F">
        <w:tc>
          <w:tcPr>
            <w:tcW w:w="3005" w:type="dxa"/>
          </w:tcPr>
          <w:p w14:paraId="692EC09B" w14:textId="78F34302" w:rsidR="005B7EA2" w:rsidRDefault="005B7EA2">
            <w:r>
              <w:rPr>
                <w:noProof/>
              </w:rPr>
              <w:drawing>
                <wp:inline distT="0" distB="0" distL="0" distR="0" wp14:anchorId="275EAD39" wp14:editId="1F90B082">
                  <wp:extent cx="1981200" cy="1981200"/>
                  <wp:effectExtent l="0" t="0" r="0" b="0"/>
                  <wp:docPr id="11150306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030639" name="Picture 11150306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inline>
              </w:drawing>
            </w:r>
          </w:p>
        </w:tc>
        <w:tc>
          <w:tcPr>
            <w:tcW w:w="3005" w:type="dxa"/>
          </w:tcPr>
          <w:p w14:paraId="419FED79" w14:textId="656B4CF4" w:rsidR="005B7EA2" w:rsidRDefault="005B7EA2">
            <w:r>
              <w:rPr>
                <w:noProof/>
              </w:rPr>
              <w:drawing>
                <wp:inline distT="0" distB="0" distL="0" distR="0" wp14:anchorId="60742546" wp14:editId="364C1364">
                  <wp:extent cx="1828800" cy="1828800"/>
                  <wp:effectExtent l="0" t="0" r="0" b="0"/>
                  <wp:docPr id="2111417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1704" name="Picture 2111417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tc>
        <w:tc>
          <w:tcPr>
            <w:tcW w:w="3006" w:type="dxa"/>
          </w:tcPr>
          <w:p w14:paraId="2F661BC4" w14:textId="77777777" w:rsidR="005B7EA2" w:rsidRDefault="005B7EA2">
            <w:pPr>
              <w:rPr>
                <w:noProof/>
              </w:rPr>
            </w:pPr>
          </w:p>
        </w:tc>
      </w:tr>
    </w:tbl>
    <w:p w14:paraId="51FE7CAB" w14:textId="77777777" w:rsidR="00051A1F" w:rsidRDefault="00051A1F"/>
    <w:tbl>
      <w:tblPr>
        <w:tblStyle w:val="TableGrid"/>
        <w:tblW w:w="0" w:type="auto"/>
        <w:tblLook w:val="04A0" w:firstRow="1" w:lastRow="0" w:firstColumn="1" w:lastColumn="0" w:noHBand="0" w:noVBand="1"/>
      </w:tblPr>
      <w:tblGrid>
        <w:gridCol w:w="2865"/>
        <w:gridCol w:w="3315"/>
        <w:gridCol w:w="2836"/>
      </w:tblGrid>
      <w:tr w:rsidR="005B7EA2" w14:paraId="1EBDEF8F" w14:textId="77777777" w:rsidTr="003E00C9">
        <w:tc>
          <w:tcPr>
            <w:tcW w:w="3005" w:type="dxa"/>
          </w:tcPr>
          <w:p w14:paraId="5E3AE334" w14:textId="3B574E4D" w:rsidR="005B7EA2" w:rsidRDefault="005B7EA2" w:rsidP="003E00C9">
            <w:pPr>
              <w:jc w:val="center"/>
              <w:rPr>
                <w:noProof/>
              </w:rPr>
            </w:pPr>
            <w:r>
              <w:rPr>
                <w:noProof/>
              </w:rPr>
              <w:t>Instagram 1</w:t>
            </w:r>
          </w:p>
        </w:tc>
        <w:tc>
          <w:tcPr>
            <w:tcW w:w="3005" w:type="dxa"/>
          </w:tcPr>
          <w:p w14:paraId="142B3B5A" w14:textId="1D39C6BC" w:rsidR="005B7EA2" w:rsidRDefault="00491DCF" w:rsidP="003E00C9">
            <w:pPr>
              <w:jc w:val="center"/>
              <w:rPr>
                <w:noProof/>
              </w:rPr>
            </w:pPr>
            <w:r>
              <w:rPr>
                <w:noProof/>
              </w:rPr>
              <w:t xml:space="preserve">Instagram </w:t>
            </w:r>
            <w:r>
              <w:rPr>
                <w:noProof/>
              </w:rPr>
              <w:t>2</w:t>
            </w:r>
          </w:p>
        </w:tc>
        <w:tc>
          <w:tcPr>
            <w:tcW w:w="3006" w:type="dxa"/>
          </w:tcPr>
          <w:p w14:paraId="5990B007" w14:textId="5E712D8C" w:rsidR="005B7EA2" w:rsidRDefault="00491DCF" w:rsidP="003E00C9">
            <w:pPr>
              <w:jc w:val="center"/>
              <w:rPr>
                <w:noProof/>
              </w:rPr>
            </w:pPr>
            <w:r>
              <w:rPr>
                <w:noProof/>
              </w:rPr>
              <w:t xml:space="preserve">Instagram </w:t>
            </w:r>
            <w:r>
              <w:rPr>
                <w:noProof/>
              </w:rPr>
              <w:t>3</w:t>
            </w:r>
          </w:p>
        </w:tc>
      </w:tr>
      <w:tr w:rsidR="005B7EA2" w14:paraId="7AEF4E8E" w14:textId="77777777" w:rsidTr="003E00C9">
        <w:tc>
          <w:tcPr>
            <w:tcW w:w="3005" w:type="dxa"/>
          </w:tcPr>
          <w:p w14:paraId="779C13D1" w14:textId="05711A52" w:rsidR="005B7EA2" w:rsidRDefault="005B7EA2" w:rsidP="003E00C9">
            <w:r>
              <w:rPr>
                <w:noProof/>
              </w:rPr>
              <w:lastRenderedPageBreak/>
              <w:drawing>
                <wp:inline distT="0" distB="0" distL="0" distR="0" wp14:anchorId="5F0B8046" wp14:editId="364954EF">
                  <wp:extent cx="1765300" cy="2206723"/>
                  <wp:effectExtent l="0" t="0" r="6350" b="3175"/>
                  <wp:docPr id="5027044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04433" name="Picture 5027044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9403" cy="2224353"/>
                          </a:xfrm>
                          <a:prstGeom prst="rect">
                            <a:avLst/>
                          </a:prstGeom>
                        </pic:spPr>
                      </pic:pic>
                    </a:graphicData>
                  </a:graphic>
                </wp:inline>
              </w:drawing>
            </w:r>
          </w:p>
        </w:tc>
        <w:tc>
          <w:tcPr>
            <w:tcW w:w="3005" w:type="dxa"/>
          </w:tcPr>
          <w:p w14:paraId="39B13515" w14:textId="32532869" w:rsidR="005B7EA2" w:rsidRDefault="005B7EA2" w:rsidP="003E00C9">
            <w:r>
              <w:rPr>
                <w:noProof/>
              </w:rPr>
              <w:drawing>
                <wp:inline distT="0" distB="0" distL="0" distR="0" wp14:anchorId="3B420748" wp14:editId="387687ED">
                  <wp:extent cx="1765222" cy="2206625"/>
                  <wp:effectExtent l="0" t="0" r="6985" b="3175"/>
                  <wp:docPr id="11681609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60984" name="Picture 11681609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6762" cy="2221050"/>
                          </a:xfrm>
                          <a:prstGeom prst="rect">
                            <a:avLst/>
                          </a:prstGeom>
                        </pic:spPr>
                      </pic:pic>
                    </a:graphicData>
                  </a:graphic>
                </wp:inline>
              </w:drawing>
            </w:r>
          </w:p>
        </w:tc>
        <w:tc>
          <w:tcPr>
            <w:tcW w:w="3006" w:type="dxa"/>
          </w:tcPr>
          <w:p w14:paraId="5E4E3FB8" w14:textId="3C00625D" w:rsidR="005B7EA2" w:rsidRDefault="005B7EA2" w:rsidP="003E00C9">
            <w:r>
              <w:rPr>
                <w:noProof/>
              </w:rPr>
              <w:drawing>
                <wp:inline distT="0" distB="0" distL="0" distR="0" wp14:anchorId="75CA645F" wp14:editId="50DFE58F">
                  <wp:extent cx="1765300" cy="2206723"/>
                  <wp:effectExtent l="0" t="0" r="6350" b="3175"/>
                  <wp:docPr id="13006785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78559" name="Picture 130067855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0369" cy="2213059"/>
                          </a:xfrm>
                          <a:prstGeom prst="rect">
                            <a:avLst/>
                          </a:prstGeom>
                        </pic:spPr>
                      </pic:pic>
                    </a:graphicData>
                  </a:graphic>
                </wp:inline>
              </w:drawing>
            </w:r>
          </w:p>
        </w:tc>
      </w:tr>
      <w:tr w:rsidR="005B7EA2" w14:paraId="1B6FA4E3" w14:textId="77777777" w:rsidTr="003E00C9">
        <w:tc>
          <w:tcPr>
            <w:tcW w:w="3005" w:type="dxa"/>
          </w:tcPr>
          <w:p w14:paraId="4E8107D0" w14:textId="7D9066FE" w:rsidR="005B7EA2" w:rsidRDefault="005B7EA2" w:rsidP="005B7EA2">
            <w:r>
              <w:rPr>
                <w:noProof/>
              </w:rPr>
              <w:t>Instagram</w:t>
            </w:r>
            <w:r>
              <w:t xml:space="preserve"> 4</w:t>
            </w:r>
          </w:p>
        </w:tc>
        <w:tc>
          <w:tcPr>
            <w:tcW w:w="3005" w:type="dxa"/>
          </w:tcPr>
          <w:p w14:paraId="4715A8FA" w14:textId="5A83B99E" w:rsidR="005B7EA2" w:rsidRDefault="005B7EA2" w:rsidP="005B7EA2">
            <w:r>
              <w:rPr>
                <w:noProof/>
              </w:rPr>
              <w:t xml:space="preserve">Instagram </w:t>
            </w:r>
            <w:r>
              <w:t>5</w:t>
            </w:r>
          </w:p>
        </w:tc>
        <w:tc>
          <w:tcPr>
            <w:tcW w:w="3006" w:type="dxa"/>
          </w:tcPr>
          <w:p w14:paraId="250066AC" w14:textId="77777777" w:rsidR="005B7EA2" w:rsidRDefault="005B7EA2" w:rsidP="005B7EA2">
            <w:pPr>
              <w:rPr>
                <w:noProof/>
              </w:rPr>
            </w:pPr>
          </w:p>
        </w:tc>
      </w:tr>
      <w:tr w:rsidR="005B7EA2" w14:paraId="5AE8EBEB" w14:textId="77777777" w:rsidTr="003E00C9">
        <w:tc>
          <w:tcPr>
            <w:tcW w:w="3005" w:type="dxa"/>
          </w:tcPr>
          <w:p w14:paraId="73017D52" w14:textId="3529E2CB" w:rsidR="005B7EA2" w:rsidRDefault="005B7EA2" w:rsidP="005B7EA2">
            <w:r>
              <w:rPr>
                <w:noProof/>
              </w:rPr>
              <w:drawing>
                <wp:inline distT="0" distB="0" distL="0" distR="0" wp14:anchorId="22EE4D74" wp14:editId="60C3C16A">
                  <wp:extent cx="1784350" cy="2230536"/>
                  <wp:effectExtent l="0" t="0" r="6350" b="0"/>
                  <wp:docPr id="10001208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0824" name="Picture 10001208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1384" cy="2251830"/>
                          </a:xfrm>
                          <a:prstGeom prst="rect">
                            <a:avLst/>
                          </a:prstGeom>
                        </pic:spPr>
                      </pic:pic>
                    </a:graphicData>
                  </a:graphic>
                </wp:inline>
              </w:drawing>
            </w:r>
          </w:p>
        </w:tc>
        <w:tc>
          <w:tcPr>
            <w:tcW w:w="3005" w:type="dxa"/>
          </w:tcPr>
          <w:p w14:paraId="1B31A834" w14:textId="610C4221" w:rsidR="005B7EA2" w:rsidRDefault="005B7EA2" w:rsidP="005B7EA2">
            <w:r>
              <w:rPr>
                <w:noProof/>
              </w:rPr>
              <w:drawing>
                <wp:inline distT="0" distB="0" distL="0" distR="0" wp14:anchorId="2E51DC28" wp14:editId="2BB8849A">
                  <wp:extent cx="2087363" cy="2609319"/>
                  <wp:effectExtent l="0" t="0" r="8255" b="635"/>
                  <wp:docPr id="10771327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32795" name="Picture 107713279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2985" cy="2616347"/>
                          </a:xfrm>
                          <a:prstGeom prst="rect">
                            <a:avLst/>
                          </a:prstGeom>
                        </pic:spPr>
                      </pic:pic>
                    </a:graphicData>
                  </a:graphic>
                </wp:inline>
              </w:drawing>
            </w:r>
          </w:p>
        </w:tc>
        <w:tc>
          <w:tcPr>
            <w:tcW w:w="3006" w:type="dxa"/>
          </w:tcPr>
          <w:p w14:paraId="5B0E9EA4" w14:textId="77777777" w:rsidR="005B7EA2" w:rsidRDefault="005B7EA2" w:rsidP="005B7EA2">
            <w:pPr>
              <w:rPr>
                <w:noProof/>
              </w:rPr>
            </w:pPr>
          </w:p>
        </w:tc>
      </w:tr>
    </w:tbl>
    <w:p w14:paraId="5ADFFEB2" w14:textId="518AE393" w:rsidR="005B7EA2" w:rsidRPr="00437FFD" w:rsidRDefault="00437FFD">
      <w:pPr>
        <w:rPr>
          <w:b/>
          <w:bCs/>
        </w:rPr>
      </w:pPr>
      <w:r>
        <w:br/>
      </w:r>
      <w:r w:rsidRPr="00437FFD">
        <w:rPr>
          <w:b/>
          <w:bCs/>
        </w:rPr>
        <w:t xml:space="preserve">Social media captions </w:t>
      </w:r>
      <w:r w:rsidRPr="00437FFD">
        <w:rPr>
          <w:b/>
          <w:bCs/>
        </w:rPr>
        <w:br/>
      </w:r>
      <w:r>
        <w:rPr>
          <w:b/>
          <w:bCs/>
        </w:rPr>
        <w:br/>
      </w:r>
      <w:r w:rsidRPr="00437FFD">
        <w:t xml:space="preserve">Here are some examples of different captions that could be used in social media posts to promote the website and raise awareness about </w:t>
      </w:r>
      <w:r w:rsidR="002E5BF0">
        <w:t xml:space="preserve">the impact of gambling on women. </w:t>
      </w:r>
      <w:r w:rsidRPr="00437FFD">
        <w:t xml:space="preserve"> </w:t>
      </w:r>
      <w:r>
        <w:rPr>
          <w:b/>
          <w:bCs/>
        </w:rPr>
        <w:br/>
      </w:r>
    </w:p>
    <w:tbl>
      <w:tblPr>
        <w:tblStyle w:val="TableGrid"/>
        <w:tblW w:w="0" w:type="auto"/>
        <w:tblLook w:val="04A0" w:firstRow="1" w:lastRow="0" w:firstColumn="1" w:lastColumn="0" w:noHBand="0" w:noVBand="1"/>
      </w:tblPr>
      <w:tblGrid>
        <w:gridCol w:w="1696"/>
        <w:gridCol w:w="7320"/>
      </w:tblGrid>
      <w:tr w:rsidR="00D3745F" w14:paraId="45F19226" w14:textId="77777777" w:rsidTr="51565213">
        <w:tc>
          <w:tcPr>
            <w:tcW w:w="9016" w:type="dxa"/>
            <w:gridSpan w:val="2"/>
          </w:tcPr>
          <w:p w14:paraId="2432A506" w14:textId="0BAA70B3" w:rsidR="00D3745F" w:rsidRDefault="00D3745F" w:rsidP="00D3745F">
            <w:pPr>
              <w:jc w:val="center"/>
            </w:pPr>
            <w:r>
              <w:t>Caption options for social media</w:t>
            </w:r>
          </w:p>
        </w:tc>
      </w:tr>
      <w:tr w:rsidR="00D3745F" w14:paraId="62B1CFD8" w14:textId="77777777" w:rsidTr="51565213">
        <w:trPr>
          <w:trHeight w:val="276"/>
        </w:trPr>
        <w:tc>
          <w:tcPr>
            <w:tcW w:w="1696" w:type="dxa"/>
          </w:tcPr>
          <w:p w14:paraId="5CF5993B" w14:textId="2AADD143" w:rsidR="00D3745F" w:rsidRDefault="00D3745F">
            <w:r>
              <w:t>Option 1</w:t>
            </w:r>
          </w:p>
        </w:tc>
        <w:tc>
          <w:tcPr>
            <w:tcW w:w="7320" w:type="dxa"/>
          </w:tcPr>
          <w:p w14:paraId="4B1F2B24" w14:textId="77777777" w:rsidR="005B7EA2" w:rsidRPr="005B7EA2" w:rsidRDefault="005B7EA2" w:rsidP="005B7EA2">
            <w:r w:rsidRPr="005B7EA2">
              <w:t>Gambling harm affects women too.</w:t>
            </w:r>
          </w:p>
          <w:p w14:paraId="05C6F154" w14:textId="77777777" w:rsidR="005B7EA2" w:rsidRPr="005B7EA2" w:rsidRDefault="005B7EA2" w:rsidP="005B7EA2"/>
          <w:p w14:paraId="3C24D08C" w14:textId="77777777" w:rsidR="005B7EA2" w:rsidRPr="005B7EA2" w:rsidRDefault="005B7EA2" w:rsidP="005B7EA2">
            <w:r w:rsidRPr="005B7EA2">
              <w:t>Gambling has become a normal part of many women's social environments. When gambling is everywhere, the harms it causes can be harder to recognise.</w:t>
            </w:r>
          </w:p>
          <w:p w14:paraId="6B616B11" w14:textId="77777777" w:rsidR="005B7EA2" w:rsidRPr="005B7EA2" w:rsidRDefault="005B7EA2" w:rsidP="005B7EA2"/>
          <w:p w14:paraId="13554DB6" w14:textId="77777777" w:rsidR="005B7EA2" w:rsidRPr="005B7EA2" w:rsidRDefault="005B7EA2" w:rsidP="005B7EA2">
            <w:r w:rsidRPr="005B7EA2">
              <w:t>Too often, women's experiences of gambling harm are overlooked.</w:t>
            </w:r>
          </w:p>
          <w:p w14:paraId="4A92ED33" w14:textId="77777777" w:rsidR="005B7EA2" w:rsidRPr="005B7EA2" w:rsidRDefault="005B7EA2" w:rsidP="005B7EA2"/>
          <w:p w14:paraId="01A28C35" w14:textId="77777777" w:rsidR="005B7EA2" w:rsidRPr="005B7EA2" w:rsidRDefault="005B7EA2" w:rsidP="005B7EA2">
            <w:r w:rsidRPr="005B7EA2">
              <w:t xml:space="preserve">To learn more, visit </w:t>
            </w:r>
            <w:hyperlink r:id="rId16" w:history="1">
              <w:r w:rsidRPr="005B7EA2">
                <w:rPr>
                  <w:rStyle w:val="Hyperlink"/>
                </w:rPr>
                <w:t>www.GamblingHarmsWomenToo.com</w:t>
              </w:r>
            </w:hyperlink>
            <w:r w:rsidRPr="005B7EA2">
              <w:t xml:space="preserve">  </w:t>
            </w:r>
          </w:p>
          <w:p w14:paraId="5F8093C5" w14:textId="6B1698EC" w:rsidR="00D3745F" w:rsidRDefault="00D3745F"/>
        </w:tc>
      </w:tr>
      <w:tr w:rsidR="00D3745F" w14:paraId="44BC4B36" w14:textId="77777777" w:rsidTr="51565213">
        <w:trPr>
          <w:trHeight w:val="276"/>
        </w:trPr>
        <w:tc>
          <w:tcPr>
            <w:tcW w:w="1696" w:type="dxa"/>
          </w:tcPr>
          <w:p w14:paraId="7886EBF2" w14:textId="66587F1E" w:rsidR="00D3745F" w:rsidRDefault="00D3745F">
            <w:r>
              <w:t>Option 2</w:t>
            </w:r>
          </w:p>
        </w:tc>
        <w:tc>
          <w:tcPr>
            <w:tcW w:w="7320" w:type="dxa"/>
          </w:tcPr>
          <w:p w14:paraId="6477D9E3" w14:textId="6B3A7B15" w:rsidR="005B7EA2" w:rsidRPr="005B7EA2" w:rsidRDefault="005B7EA2" w:rsidP="005B7EA2">
            <w:r w:rsidRPr="005B7EA2">
              <w:t>Gambling harm affects women too.</w:t>
            </w:r>
            <w:r>
              <w:br/>
            </w:r>
          </w:p>
          <w:p w14:paraId="64EEB70C" w14:textId="3D90C579" w:rsidR="005B7EA2" w:rsidRPr="005B7EA2" w:rsidRDefault="005B7EA2" w:rsidP="005B7EA2">
            <w:r w:rsidRPr="005B7EA2">
              <w:lastRenderedPageBreak/>
              <w:t>Women's experiences of gambling are often missing from public conversations about gambling harm.</w:t>
            </w:r>
            <w:r>
              <w:br/>
            </w:r>
          </w:p>
          <w:p w14:paraId="34F1428B" w14:textId="2AFBAA16" w:rsidR="005B7EA2" w:rsidRPr="005B7EA2" w:rsidRDefault="005B7EA2" w:rsidP="005B7EA2">
            <w:r w:rsidRPr="005B7EA2">
              <w:t xml:space="preserve">The Gambling Harms Women Too toolkit brings together research, lived experience, practical resources, fact sheets, videos, and </w:t>
            </w:r>
            <w:r w:rsidR="00ED0606">
              <w:t xml:space="preserve">a </w:t>
            </w:r>
            <w:r w:rsidRPr="005B7EA2">
              <w:t>podcast to help build understanding of how gambling affects women and what can be done to prevent harm.</w:t>
            </w:r>
            <w:r>
              <w:br/>
            </w:r>
          </w:p>
          <w:p w14:paraId="269299A7" w14:textId="172CC61A" w:rsidR="005B7EA2" w:rsidRPr="005B7EA2" w:rsidRDefault="005B7EA2" w:rsidP="005B7EA2">
            <w:r w:rsidRPr="005B7EA2">
              <w:t xml:space="preserve">Explore the resources and listen to the podcast series at </w:t>
            </w:r>
            <w:hyperlink r:id="rId17" w:history="1">
              <w:r w:rsidRPr="007E4D4B">
                <w:rPr>
                  <w:rStyle w:val="Hyperlink"/>
                </w:rPr>
                <w:t>www.GamblingHarmsWomenToo.com</w:t>
              </w:r>
            </w:hyperlink>
          </w:p>
          <w:p w14:paraId="115CABDA" w14:textId="15AFAABD" w:rsidR="09EFC0A2" w:rsidRDefault="09EFC0A2"/>
          <w:p w14:paraId="0350904B" w14:textId="7D7B26A8" w:rsidR="00350507" w:rsidRDefault="00350507"/>
        </w:tc>
      </w:tr>
      <w:tr w:rsidR="00D3745F" w14:paraId="7EF4F2D2" w14:textId="77777777" w:rsidTr="51565213">
        <w:trPr>
          <w:trHeight w:val="276"/>
        </w:trPr>
        <w:tc>
          <w:tcPr>
            <w:tcW w:w="1696" w:type="dxa"/>
          </w:tcPr>
          <w:p w14:paraId="79E2664A" w14:textId="077D094A" w:rsidR="00D3745F" w:rsidRDefault="00D3745F">
            <w:r>
              <w:lastRenderedPageBreak/>
              <w:t xml:space="preserve">Option 3 </w:t>
            </w:r>
          </w:p>
        </w:tc>
        <w:tc>
          <w:tcPr>
            <w:tcW w:w="7320" w:type="dxa"/>
          </w:tcPr>
          <w:p w14:paraId="46EF1DB0" w14:textId="77777777" w:rsidR="004407C5" w:rsidRDefault="004407C5" w:rsidP="004407C5">
            <w:r>
              <w:t>Women's experiences of gambling harm have often been overlooked in research, policy, and public discussions.</w:t>
            </w:r>
          </w:p>
          <w:p w14:paraId="5E52CFBD" w14:textId="77777777" w:rsidR="004407C5" w:rsidRDefault="004407C5" w:rsidP="004407C5"/>
          <w:p w14:paraId="29F86798" w14:textId="77777777" w:rsidR="004407C5" w:rsidRDefault="004407C5" w:rsidP="004407C5">
            <w:r>
              <w:t>The Gambling Harms Women Too toolkit draws on research conducted with women in the ACT and years of research with women across Australia to better understand how gambling has become normalised in women's lives and the impacts this can have.</w:t>
            </w:r>
          </w:p>
          <w:p w14:paraId="39AAF535" w14:textId="77777777" w:rsidR="004407C5" w:rsidRDefault="004407C5" w:rsidP="004407C5"/>
          <w:p w14:paraId="6E8DB490" w14:textId="77777777" w:rsidR="004407C5" w:rsidRDefault="004407C5" w:rsidP="004407C5">
            <w:r>
              <w:t>Developed in collaboration with researchers from Deakin University and Curtin University, and the Gambling Harm Lived Experience Experts, the toolkit brings together research evidence and lived experience perspectives to support learning, discussion, and action.</w:t>
            </w:r>
          </w:p>
          <w:p w14:paraId="4D54EF00" w14:textId="77777777" w:rsidR="004407C5" w:rsidRDefault="004407C5" w:rsidP="004407C5"/>
          <w:p w14:paraId="069E38C8" w14:textId="3E26562C" w:rsidR="00D3745F" w:rsidRDefault="004407C5" w:rsidP="004407C5">
            <w:r>
              <w:t xml:space="preserve">Learn more at </w:t>
            </w:r>
            <w:hyperlink r:id="rId18" w:history="1">
              <w:r w:rsidRPr="007E4D4B">
                <w:rPr>
                  <w:rStyle w:val="Hyperlink"/>
                </w:rPr>
                <w:t>www.GamblingHarmsWomenToo.com</w:t>
              </w:r>
            </w:hyperlink>
            <w:r>
              <w:t xml:space="preserve"> </w:t>
            </w:r>
          </w:p>
        </w:tc>
      </w:tr>
    </w:tbl>
    <w:p w14:paraId="69592A67" w14:textId="77777777" w:rsidR="002E5BF0" w:rsidRDefault="00511C93">
      <w:r>
        <w:br/>
      </w:r>
    </w:p>
    <w:p w14:paraId="09C3E2CE" w14:textId="77777777" w:rsidR="002E5BF0" w:rsidRDefault="002E5BF0"/>
    <w:p w14:paraId="5930BFDF" w14:textId="77777777" w:rsidR="002E5BF0" w:rsidRDefault="002E5BF0"/>
    <w:p w14:paraId="5E296A32" w14:textId="77777777" w:rsidR="002E5BF0" w:rsidRDefault="002E5BF0"/>
    <w:p w14:paraId="2FF4CAE7" w14:textId="77777777" w:rsidR="002E5BF0" w:rsidRDefault="002E5BF0">
      <w:pPr>
        <w:rPr>
          <w:b/>
          <w:bCs/>
        </w:rPr>
      </w:pPr>
    </w:p>
    <w:p w14:paraId="4AAB4E07" w14:textId="1249B015" w:rsidR="00511C93" w:rsidRPr="002E5BF0" w:rsidRDefault="00511C93">
      <w:pPr>
        <w:rPr>
          <w:b/>
          <w:bCs/>
        </w:rPr>
      </w:pPr>
      <w:r w:rsidRPr="002E5BF0">
        <w:rPr>
          <w:b/>
          <w:bCs/>
        </w:rPr>
        <w:t>Example</w:t>
      </w:r>
      <w:r w:rsidR="002E5BF0" w:rsidRPr="002E5BF0">
        <w:rPr>
          <w:b/>
          <w:bCs/>
        </w:rPr>
        <w:t>s</w:t>
      </w:r>
      <w:r w:rsidRPr="002E5BF0">
        <w:rPr>
          <w:b/>
          <w:bCs/>
        </w:rPr>
        <w:t xml:space="preserve">: </w:t>
      </w:r>
      <w:r w:rsidRPr="002E5BF0">
        <w:rPr>
          <w:b/>
          <w:bCs/>
        </w:rPr>
        <w:br/>
      </w:r>
    </w:p>
    <w:tbl>
      <w:tblPr>
        <w:tblStyle w:val="TableGrid"/>
        <w:tblW w:w="0" w:type="auto"/>
        <w:tblLook w:val="04A0" w:firstRow="1" w:lastRow="0" w:firstColumn="1" w:lastColumn="0" w:noHBand="0" w:noVBand="1"/>
      </w:tblPr>
      <w:tblGrid>
        <w:gridCol w:w="4508"/>
        <w:gridCol w:w="4508"/>
      </w:tblGrid>
      <w:tr w:rsidR="00511C93" w14:paraId="1680AEE1" w14:textId="77777777" w:rsidTr="00511C93">
        <w:tc>
          <w:tcPr>
            <w:tcW w:w="4508" w:type="dxa"/>
          </w:tcPr>
          <w:p w14:paraId="5A88EE6F" w14:textId="066E9A7D" w:rsidR="00511C93" w:rsidRDefault="00511C93" w:rsidP="00511C93">
            <w:r>
              <w:t>Text</w:t>
            </w:r>
          </w:p>
        </w:tc>
        <w:tc>
          <w:tcPr>
            <w:tcW w:w="4508" w:type="dxa"/>
          </w:tcPr>
          <w:p w14:paraId="52300019" w14:textId="4A681E84" w:rsidR="00511C93" w:rsidRDefault="00511C93">
            <w:pPr>
              <w:rPr>
                <w:noProof/>
              </w:rPr>
            </w:pPr>
            <w:r>
              <w:rPr>
                <w:noProof/>
              </w:rPr>
              <w:t xml:space="preserve">Example Image </w:t>
            </w:r>
          </w:p>
        </w:tc>
      </w:tr>
      <w:tr w:rsidR="00511C93" w14:paraId="550AAF38" w14:textId="77777777" w:rsidTr="00511C93">
        <w:tc>
          <w:tcPr>
            <w:tcW w:w="4508" w:type="dxa"/>
          </w:tcPr>
          <w:p w14:paraId="0B7D0BD7" w14:textId="20525353" w:rsidR="00511C93" w:rsidRPr="005B7EA2" w:rsidRDefault="00511C93" w:rsidP="00511C93">
            <w:r>
              <w:lastRenderedPageBreak/>
              <w:t>Social media post:</w:t>
            </w:r>
            <w:r>
              <w:br/>
            </w:r>
            <w:r>
              <w:br/>
            </w:r>
            <w:r w:rsidRPr="005B7EA2">
              <w:t>Gambling harm affects women too.</w:t>
            </w:r>
          </w:p>
          <w:p w14:paraId="573BEAA8" w14:textId="77777777" w:rsidR="00511C93" w:rsidRPr="005B7EA2" w:rsidRDefault="00511C93" w:rsidP="00511C93"/>
          <w:p w14:paraId="30A607AC" w14:textId="77777777" w:rsidR="00511C93" w:rsidRPr="005B7EA2" w:rsidRDefault="00511C93" w:rsidP="00511C93">
            <w:r w:rsidRPr="005B7EA2">
              <w:t>Gambling has become a normal part of many women's social environments. When gambling is everywhere, the harms it causes can be harder to recognise.</w:t>
            </w:r>
          </w:p>
          <w:p w14:paraId="6C8126C0" w14:textId="77777777" w:rsidR="00511C93" w:rsidRPr="005B7EA2" w:rsidRDefault="00511C93" w:rsidP="00511C93"/>
          <w:p w14:paraId="31B888B7" w14:textId="77777777" w:rsidR="00511C93" w:rsidRPr="005B7EA2" w:rsidRDefault="00511C93" w:rsidP="00511C93">
            <w:r w:rsidRPr="005B7EA2">
              <w:t>Too often, women's experiences of gambling harm are overlooked.</w:t>
            </w:r>
          </w:p>
          <w:p w14:paraId="0F619CCA" w14:textId="77777777" w:rsidR="00511C93" w:rsidRPr="005B7EA2" w:rsidRDefault="00511C93" w:rsidP="00511C93"/>
          <w:p w14:paraId="4FE7CC55" w14:textId="6D34C2A7" w:rsidR="00511C93" w:rsidRDefault="00511C93">
            <w:r w:rsidRPr="005B7EA2">
              <w:t xml:space="preserve">To learn more, visit </w:t>
            </w:r>
            <w:hyperlink r:id="rId19" w:history="1">
              <w:r w:rsidRPr="005B7EA2">
                <w:rPr>
                  <w:rStyle w:val="Hyperlink"/>
                </w:rPr>
                <w:t>www.GamblingHarmsWomenToo.com</w:t>
              </w:r>
            </w:hyperlink>
            <w:r w:rsidRPr="005B7EA2">
              <w:t xml:space="preserve">  </w:t>
            </w:r>
          </w:p>
        </w:tc>
        <w:tc>
          <w:tcPr>
            <w:tcW w:w="4508" w:type="dxa"/>
          </w:tcPr>
          <w:p w14:paraId="0A96C4DB" w14:textId="2A24A128" w:rsidR="00511C93" w:rsidRDefault="000B1634">
            <w:r>
              <w:rPr>
                <w:noProof/>
              </w:rPr>
              <w:drawing>
                <wp:inline distT="0" distB="0" distL="0" distR="0" wp14:anchorId="5A474FC0" wp14:editId="7CCB58E1">
                  <wp:extent cx="1765222" cy="2206625"/>
                  <wp:effectExtent l="0" t="0" r="6985" b="3175"/>
                  <wp:docPr id="20571092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60984" name="Picture 11681609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6762" cy="2221050"/>
                          </a:xfrm>
                          <a:prstGeom prst="rect">
                            <a:avLst/>
                          </a:prstGeom>
                        </pic:spPr>
                      </pic:pic>
                    </a:graphicData>
                  </a:graphic>
                </wp:inline>
              </w:drawing>
            </w:r>
          </w:p>
        </w:tc>
      </w:tr>
      <w:tr w:rsidR="00511C93" w14:paraId="1E4FD637" w14:textId="77777777" w:rsidTr="00511C93">
        <w:tc>
          <w:tcPr>
            <w:tcW w:w="4508" w:type="dxa"/>
          </w:tcPr>
          <w:p w14:paraId="33A328C7" w14:textId="77777777" w:rsidR="00511C93" w:rsidRDefault="00511C93" w:rsidP="00511C93">
            <w:r>
              <w:t>LinkedIn post:</w:t>
            </w:r>
            <w:r>
              <w:br/>
            </w:r>
            <w:r>
              <w:br/>
              <w:t>Women's experiences of gambling harm have often been overlooked in research, policy, and public discussions.</w:t>
            </w:r>
          </w:p>
          <w:p w14:paraId="15603B7A" w14:textId="77777777" w:rsidR="00511C93" w:rsidRDefault="00511C93" w:rsidP="00511C93"/>
          <w:p w14:paraId="27D6815A" w14:textId="77777777" w:rsidR="00511C93" w:rsidRDefault="00511C93" w:rsidP="00511C93">
            <w:r>
              <w:t>The Gambling Harms Women Too toolkit draws on research conducted with women in the ACT and years of research with women across Australia to better understand how gambling has become normalised in women's lives and the impacts this can have.</w:t>
            </w:r>
          </w:p>
          <w:p w14:paraId="6B2D1EDA" w14:textId="77777777" w:rsidR="00511C93" w:rsidRDefault="00511C93" w:rsidP="00511C93"/>
          <w:p w14:paraId="3D058423" w14:textId="77777777" w:rsidR="00511C93" w:rsidRDefault="00511C93" w:rsidP="00511C93">
            <w:r>
              <w:t>Developed in collaboration with researchers from Deakin University and Curtin University, and the Gambling Harm Lived Experience Experts, the toolkit brings together research evidence and lived experience perspectives to support learning, discussion, and action.</w:t>
            </w:r>
          </w:p>
          <w:p w14:paraId="17AAFEC5" w14:textId="77777777" w:rsidR="00511C93" w:rsidRDefault="00511C93" w:rsidP="00511C93"/>
          <w:p w14:paraId="15F0D0E3" w14:textId="15FC8D0E" w:rsidR="00511C93" w:rsidRDefault="00511C93" w:rsidP="00511C93">
            <w:r>
              <w:t xml:space="preserve">Learn more at </w:t>
            </w:r>
            <w:hyperlink r:id="rId20" w:history="1">
              <w:r w:rsidRPr="007E4D4B">
                <w:rPr>
                  <w:rStyle w:val="Hyperlink"/>
                </w:rPr>
                <w:t>www.GamblingHarmsWomenToo.com</w:t>
              </w:r>
            </w:hyperlink>
            <w:r>
              <w:br/>
            </w:r>
          </w:p>
        </w:tc>
        <w:tc>
          <w:tcPr>
            <w:tcW w:w="4508" w:type="dxa"/>
          </w:tcPr>
          <w:p w14:paraId="528A4A43" w14:textId="0E078EA6" w:rsidR="00511C93" w:rsidRDefault="000B1634">
            <w:r>
              <w:rPr>
                <w:noProof/>
              </w:rPr>
              <w:drawing>
                <wp:inline distT="0" distB="0" distL="0" distR="0" wp14:anchorId="4160C7C8" wp14:editId="52F82AFA">
                  <wp:extent cx="1981200" cy="1981200"/>
                  <wp:effectExtent l="0" t="0" r="0" b="0"/>
                  <wp:docPr id="20510695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030639" name="Picture 11150306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inline>
              </w:drawing>
            </w:r>
          </w:p>
        </w:tc>
      </w:tr>
    </w:tbl>
    <w:p w14:paraId="778CF2B9" w14:textId="5B399238" w:rsidR="00D3745F" w:rsidRDefault="00D3745F"/>
    <w:sectPr w:rsidR="00D3745F" w:rsidSect="00D374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7158" w14:textId="77777777" w:rsidR="00A20FA9" w:rsidRDefault="00A20FA9" w:rsidP="005B7EA2">
      <w:pPr>
        <w:spacing w:after="0" w:line="240" w:lineRule="auto"/>
      </w:pPr>
      <w:r>
        <w:separator/>
      </w:r>
    </w:p>
  </w:endnote>
  <w:endnote w:type="continuationSeparator" w:id="0">
    <w:p w14:paraId="5C16B7D8" w14:textId="77777777" w:rsidR="00A20FA9" w:rsidRDefault="00A20FA9" w:rsidP="005B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F256" w14:textId="77777777" w:rsidR="00A20FA9" w:rsidRDefault="00A20FA9" w:rsidP="005B7EA2">
      <w:pPr>
        <w:spacing w:after="0" w:line="240" w:lineRule="auto"/>
      </w:pPr>
      <w:r>
        <w:separator/>
      </w:r>
    </w:p>
  </w:footnote>
  <w:footnote w:type="continuationSeparator" w:id="0">
    <w:p w14:paraId="56BE8DAF" w14:textId="77777777" w:rsidR="00A20FA9" w:rsidRDefault="00A20FA9" w:rsidP="005B7E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1F"/>
    <w:rsid w:val="00034517"/>
    <w:rsid w:val="00051A1F"/>
    <w:rsid w:val="00052EC1"/>
    <w:rsid w:val="000B1634"/>
    <w:rsid w:val="000B610F"/>
    <w:rsid w:val="000C3E0F"/>
    <w:rsid w:val="001044C6"/>
    <w:rsid w:val="00106F33"/>
    <w:rsid w:val="0011310A"/>
    <w:rsid w:val="00206871"/>
    <w:rsid w:val="002232C7"/>
    <w:rsid w:val="0022371E"/>
    <w:rsid w:val="002B7887"/>
    <w:rsid w:val="002D29A3"/>
    <w:rsid w:val="002E5BF0"/>
    <w:rsid w:val="003220C4"/>
    <w:rsid w:val="00350507"/>
    <w:rsid w:val="0035580D"/>
    <w:rsid w:val="00381132"/>
    <w:rsid w:val="004038C8"/>
    <w:rsid w:val="00437FFD"/>
    <w:rsid w:val="004407C5"/>
    <w:rsid w:val="00445945"/>
    <w:rsid w:val="00491DCF"/>
    <w:rsid w:val="004B36B6"/>
    <w:rsid w:val="004C24D9"/>
    <w:rsid w:val="004E1ED9"/>
    <w:rsid w:val="004F3382"/>
    <w:rsid w:val="00511C93"/>
    <w:rsid w:val="005158CA"/>
    <w:rsid w:val="005656FE"/>
    <w:rsid w:val="00595188"/>
    <w:rsid w:val="005B53BC"/>
    <w:rsid w:val="005B7EA2"/>
    <w:rsid w:val="006345C1"/>
    <w:rsid w:val="00652CCF"/>
    <w:rsid w:val="006A1F0F"/>
    <w:rsid w:val="006A53D8"/>
    <w:rsid w:val="00726D91"/>
    <w:rsid w:val="00764376"/>
    <w:rsid w:val="007A0DFB"/>
    <w:rsid w:val="007B2F76"/>
    <w:rsid w:val="007B661A"/>
    <w:rsid w:val="00805FB1"/>
    <w:rsid w:val="00876A07"/>
    <w:rsid w:val="00881DE1"/>
    <w:rsid w:val="008C4382"/>
    <w:rsid w:val="008F06F0"/>
    <w:rsid w:val="009049D8"/>
    <w:rsid w:val="00907171"/>
    <w:rsid w:val="009172E9"/>
    <w:rsid w:val="00925A80"/>
    <w:rsid w:val="009364FC"/>
    <w:rsid w:val="00940B98"/>
    <w:rsid w:val="00974EC5"/>
    <w:rsid w:val="009C0969"/>
    <w:rsid w:val="009D32A9"/>
    <w:rsid w:val="00A20FA9"/>
    <w:rsid w:val="00A32B69"/>
    <w:rsid w:val="00AB2888"/>
    <w:rsid w:val="00AE3A8B"/>
    <w:rsid w:val="00C63F89"/>
    <w:rsid w:val="00C76FAB"/>
    <w:rsid w:val="00CA286B"/>
    <w:rsid w:val="00CF503E"/>
    <w:rsid w:val="00D3745F"/>
    <w:rsid w:val="00DB45C0"/>
    <w:rsid w:val="00DC248D"/>
    <w:rsid w:val="00DD7E3B"/>
    <w:rsid w:val="00E62006"/>
    <w:rsid w:val="00ED0606"/>
    <w:rsid w:val="00F3269A"/>
    <w:rsid w:val="00FE6DB8"/>
    <w:rsid w:val="023DA9E2"/>
    <w:rsid w:val="02FDD1A4"/>
    <w:rsid w:val="03A2361F"/>
    <w:rsid w:val="08D317E4"/>
    <w:rsid w:val="09074B2E"/>
    <w:rsid w:val="099AB427"/>
    <w:rsid w:val="09EFC0A2"/>
    <w:rsid w:val="0AEC98F3"/>
    <w:rsid w:val="0D935508"/>
    <w:rsid w:val="100F6B13"/>
    <w:rsid w:val="12DDD536"/>
    <w:rsid w:val="1757EAC1"/>
    <w:rsid w:val="181915B3"/>
    <w:rsid w:val="18642EA8"/>
    <w:rsid w:val="1A41B451"/>
    <w:rsid w:val="1CE9563B"/>
    <w:rsid w:val="1D2B83EC"/>
    <w:rsid w:val="1D5857D5"/>
    <w:rsid w:val="1D641A19"/>
    <w:rsid w:val="1D739D42"/>
    <w:rsid w:val="212A53E1"/>
    <w:rsid w:val="23F2884D"/>
    <w:rsid w:val="23F8F61F"/>
    <w:rsid w:val="25A05FFA"/>
    <w:rsid w:val="2832B632"/>
    <w:rsid w:val="2B623148"/>
    <w:rsid w:val="2DA18871"/>
    <w:rsid w:val="2E2E3DE5"/>
    <w:rsid w:val="399A3E4D"/>
    <w:rsid w:val="3B8B7D0A"/>
    <w:rsid w:val="3BDE3257"/>
    <w:rsid w:val="3D06C04C"/>
    <w:rsid w:val="3EA2AC84"/>
    <w:rsid w:val="3F8167A3"/>
    <w:rsid w:val="3FBF014C"/>
    <w:rsid w:val="4267BFDB"/>
    <w:rsid w:val="4734F558"/>
    <w:rsid w:val="4914A861"/>
    <w:rsid w:val="4B0620E4"/>
    <w:rsid w:val="509F40D6"/>
    <w:rsid w:val="51565213"/>
    <w:rsid w:val="56661C04"/>
    <w:rsid w:val="596C749F"/>
    <w:rsid w:val="5F22BBAF"/>
    <w:rsid w:val="5FC2CA26"/>
    <w:rsid w:val="63F4C94A"/>
    <w:rsid w:val="69C93D33"/>
    <w:rsid w:val="6C7A37DC"/>
    <w:rsid w:val="6E77603D"/>
    <w:rsid w:val="70D1C303"/>
    <w:rsid w:val="70D38132"/>
    <w:rsid w:val="728BAE2A"/>
    <w:rsid w:val="78A5A092"/>
    <w:rsid w:val="7CD5E512"/>
    <w:rsid w:val="7F9D4E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BA8C"/>
  <w15:chartTrackingRefBased/>
  <w15:docId w15:val="{FEAB7DD1-FB6A-4733-9025-277F8E1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A1F"/>
    <w:rPr>
      <w:rFonts w:eastAsiaTheme="majorEastAsia" w:cstheme="majorBidi"/>
      <w:color w:val="272727" w:themeColor="text1" w:themeTint="D8"/>
    </w:rPr>
  </w:style>
  <w:style w:type="paragraph" w:styleId="Title">
    <w:name w:val="Title"/>
    <w:basedOn w:val="Normal"/>
    <w:next w:val="Normal"/>
    <w:link w:val="TitleChar"/>
    <w:uiPriority w:val="10"/>
    <w:qFormat/>
    <w:rsid w:val="00051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A1F"/>
    <w:pPr>
      <w:spacing w:before="160"/>
      <w:jc w:val="center"/>
    </w:pPr>
    <w:rPr>
      <w:i/>
      <w:iCs/>
      <w:color w:val="404040" w:themeColor="text1" w:themeTint="BF"/>
    </w:rPr>
  </w:style>
  <w:style w:type="character" w:customStyle="1" w:styleId="QuoteChar">
    <w:name w:val="Quote Char"/>
    <w:basedOn w:val="DefaultParagraphFont"/>
    <w:link w:val="Quote"/>
    <w:uiPriority w:val="29"/>
    <w:rsid w:val="00051A1F"/>
    <w:rPr>
      <w:i/>
      <w:iCs/>
      <w:color w:val="404040" w:themeColor="text1" w:themeTint="BF"/>
    </w:rPr>
  </w:style>
  <w:style w:type="paragraph" w:styleId="ListParagraph">
    <w:name w:val="List Paragraph"/>
    <w:basedOn w:val="Normal"/>
    <w:uiPriority w:val="34"/>
    <w:qFormat/>
    <w:rsid w:val="00051A1F"/>
    <w:pPr>
      <w:ind w:left="720"/>
      <w:contextualSpacing/>
    </w:pPr>
  </w:style>
  <w:style w:type="character" w:styleId="IntenseEmphasis">
    <w:name w:val="Intense Emphasis"/>
    <w:basedOn w:val="DefaultParagraphFont"/>
    <w:uiPriority w:val="21"/>
    <w:qFormat/>
    <w:rsid w:val="00051A1F"/>
    <w:rPr>
      <w:i/>
      <w:iCs/>
      <w:color w:val="0F4761" w:themeColor="accent1" w:themeShade="BF"/>
    </w:rPr>
  </w:style>
  <w:style w:type="paragraph" w:styleId="IntenseQuote">
    <w:name w:val="Intense Quote"/>
    <w:basedOn w:val="Normal"/>
    <w:next w:val="Normal"/>
    <w:link w:val="IntenseQuoteChar"/>
    <w:uiPriority w:val="30"/>
    <w:qFormat/>
    <w:rsid w:val="00051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A1F"/>
    <w:rPr>
      <w:i/>
      <w:iCs/>
      <w:color w:val="0F4761" w:themeColor="accent1" w:themeShade="BF"/>
    </w:rPr>
  </w:style>
  <w:style w:type="character" w:styleId="IntenseReference">
    <w:name w:val="Intense Reference"/>
    <w:basedOn w:val="DefaultParagraphFont"/>
    <w:uiPriority w:val="32"/>
    <w:qFormat/>
    <w:rsid w:val="00051A1F"/>
    <w:rPr>
      <w:b/>
      <w:bCs/>
      <w:smallCaps/>
      <w:color w:val="0F4761" w:themeColor="accent1" w:themeShade="BF"/>
      <w:spacing w:val="5"/>
    </w:rPr>
  </w:style>
  <w:style w:type="table" w:styleId="TableGrid">
    <w:name w:val="Table Grid"/>
    <w:basedOn w:val="TableNormal"/>
    <w:uiPriority w:val="39"/>
    <w:rsid w:val="00051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58CA"/>
    <w:rPr>
      <w:sz w:val="16"/>
      <w:szCs w:val="16"/>
    </w:rPr>
  </w:style>
  <w:style w:type="paragraph" w:styleId="CommentText">
    <w:name w:val="annotation text"/>
    <w:basedOn w:val="Normal"/>
    <w:link w:val="CommentTextChar"/>
    <w:uiPriority w:val="99"/>
    <w:unhideWhenUsed/>
    <w:rsid w:val="005158CA"/>
    <w:pPr>
      <w:spacing w:line="240" w:lineRule="auto"/>
    </w:pPr>
    <w:rPr>
      <w:sz w:val="20"/>
      <w:szCs w:val="20"/>
    </w:rPr>
  </w:style>
  <w:style w:type="character" w:customStyle="1" w:styleId="CommentTextChar">
    <w:name w:val="Comment Text Char"/>
    <w:basedOn w:val="DefaultParagraphFont"/>
    <w:link w:val="CommentText"/>
    <w:uiPriority w:val="99"/>
    <w:rsid w:val="005158CA"/>
    <w:rPr>
      <w:sz w:val="20"/>
      <w:szCs w:val="20"/>
    </w:rPr>
  </w:style>
  <w:style w:type="paragraph" w:styleId="CommentSubject">
    <w:name w:val="annotation subject"/>
    <w:basedOn w:val="CommentText"/>
    <w:next w:val="CommentText"/>
    <w:link w:val="CommentSubjectChar"/>
    <w:uiPriority w:val="99"/>
    <w:semiHidden/>
    <w:unhideWhenUsed/>
    <w:rsid w:val="005158CA"/>
    <w:rPr>
      <w:b/>
      <w:bCs/>
    </w:rPr>
  </w:style>
  <w:style w:type="character" w:customStyle="1" w:styleId="CommentSubjectChar">
    <w:name w:val="Comment Subject Char"/>
    <w:basedOn w:val="CommentTextChar"/>
    <w:link w:val="CommentSubject"/>
    <w:uiPriority w:val="99"/>
    <w:semiHidden/>
    <w:rsid w:val="005158CA"/>
    <w:rPr>
      <w:b/>
      <w:bCs/>
      <w:sz w:val="20"/>
      <w:szCs w:val="20"/>
    </w:rPr>
  </w:style>
  <w:style w:type="character" w:styleId="Hyperlink">
    <w:name w:val="Hyperlink"/>
    <w:basedOn w:val="DefaultParagraphFont"/>
    <w:uiPriority w:val="99"/>
    <w:unhideWhenUsed/>
    <w:rsid w:val="00CA286B"/>
    <w:rPr>
      <w:color w:val="467886"/>
      <w:u w:val="single"/>
    </w:rPr>
  </w:style>
  <w:style w:type="paragraph" w:styleId="Header">
    <w:name w:val="header"/>
    <w:basedOn w:val="Normal"/>
    <w:link w:val="HeaderChar"/>
    <w:uiPriority w:val="99"/>
    <w:unhideWhenUsed/>
    <w:rsid w:val="005B7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EA2"/>
  </w:style>
  <w:style w:type="paragraph" w:styleId="Footer">
    <w:name w:val="footer"/>
    <w:basedOn w:val="Normal"/>
    <w:link w:val="FooterChar"/>
    <w:uiPriority w:val="99"/>
    <w:unhideWhenUsed/>
    <w:rsid w:val="005B7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EA2"/>
  </w:style>
  <w:style w:type="paragraph" w:customStyle="1" w:styleId="BasicParagraph">
    <w:name w:val="[Basic Paragraph]"/>
    <w:basedOn w:val="Normal"/>
    <w:uiPriority w:val="99"/>
    <w:rsid w:val="005B7EA2"/>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character" w:styleId="UnresolvedMention">
    <w:name w:val="Unresolved Mention"/>
    <w:basedOn w:val="DefaultParagraphFont"/>
    <w:uiPriority w:val="99"/>
    <w:semiHidden/>
    <w:unhideWhenUsed/>
    <w:rsid w:val="005B7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www.GamblingHarmsWomenToo.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GamblingHarmsWomenToo.com" TargetMode="External"/><Relationship Id="rId2" Type="http://schemas.openxmlformats.org/officeDocument/2006/relationships/settings" Target="settings.xml"/><Relationship Id="rId16" Type="http://schemas.openxmlformats.org/officeDocument/2006/relationships/hyperlink" Target="http://www.GamblingHarmsWomenToo.com" TargetMode="External"/><Relationship Id="rId20" Type="http://schemas.openxmlformats.org/officeDocument/2006/relationships/hyperlink" Target="http://www.GamblingHarmsWomenToo.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yperlink" Target="http://www.GamblingHarmsWomenToo.com"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Murray</dc:creator>
  <cp:keywords/>
  <dc:description/>
  <cp:lastModifiedBy>Simone McCarthy</cp:lastModifiedBy>
  <cp:revision>2</cp:revision>
  <dcterms:created xsi:type="dcterms:W3CDTF">2026-06-12T12:10:00Z</dcterms:created>
  <dcterms:modified xsi:type="dcterms:W3CDTF">2026-06-12T12:10:00Z</dcterms:modified>
</cp:coreProperties>
</file>